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13347d1_8k.htm"/>
      <w:bookmarkStart w:id="1" w:name="kstm2613347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C_edei--DocumentType_c2026042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 xml:space="preserve">April 27,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E_edei--EntityRegistrantName_c2026"/>
      <w:bookmarkEnd w:id="4"/>
      <w:r>
        <w:rPr>
          <w:rFonts w:ascii="Times New Roman;Times;Serif" w:hAnsi="Times New Roman;Times;Serif"/>
          <w:b/>
          <w:i w:val="false"/>
          <w:caps w:val="false"/>
          <w:smallCaps w:val="false"/>
          <w:sz w:val="28"/>
        </w:rPr>
        <w:t>Charles &amp; Colvard,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370" w:type="dxa"/>
        <w:jc w:val="left"/>
        <w:tblInd w:w="0" w:type="dxa"/>
        <w:tblLayout w:type="fixed"/>
        <w:tblCellMar>
          <w:top w:w="0" w:type="dxa"/>
          <w:left w:w="0" w:type="dxa"/>
          <w:bottom w:w="0" w:type="dxa"/>
          <w:right w:w="0" w:type="dxa"/>
        </w:tblCellMar>
      </w:tblPr>
      <w:tblGrid>
        <w:gridCol w:w="2375"/>
        <w:gridCol w:w="1460"/>
        <w:gridCol w:w="1535"/>
      </w:tblGrid>
      <w:tr>
        <w:trPr/>
        <w:tc>
          <w:tcPr>
            <w:tcW w:w="23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North Carolina</w:t>
            </w:r>
          </w:p>
        </w:tc>
        <w:tc>
          <w:tcPr>
            <w:tcW w:w="14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60427"/>
            <w:bookmarkEnd w:id="6"/>
            <w:r>
              <w:rPr>
                <w:rFonts w:ascii="Times New Roman;Times;Serif" w:hAnsi="Times New Roman;Times;Serif"/>
                <w:b/>
                <w:i w:val="false"/>
                <w:caps w:val="false"/>
                <w:smallCaps w:val="false"/>
                <w:sz w:val="20"/>
              </w:rPr>
              <w:t>000-23329</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56-1928817</w:t>
            </w:r>
          </w:p>
        </w:tc>
      </w:tr>
      <w:tr>
        <w:trPr/>
        <w:tc>
          <w:tcPr>
            <w:tcW w:w="23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146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2405"/>
        <w:gridCol w:w="920"/>
      </w:tblGrid>
      <w:tr>
        <w:trPr/>
        <w:tc>
          <w:tcPr>
            <w:tcW w:w="24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170 Southport Drive</w:t>
            </w:r>
          </w:p>
        </w:tc>
        <w:tc>
          <w:tcPr>
            <w:tcW w:w="920" w:type="dxa"/>
            <w:tcBorders/>
            <w:vAlign w:val="center"/>
          </w:tcPr>
          <w:p>
            <w:pPr>
              <w:pStyle w:val="TableContents"/>
              <w:bidi w:val="0"/>
              <w:spacing w:before="0" w:after="283"/>
              <w:jc w:val="center"/>
              <w:rPr/>
            </w:pPr>
            <w:r>
              <w:rPr/>
              <w:t> </w:t>
            </w:r>
          </w:p>
        </w:tc>
      </w:tr>
      <w:tr>
        <w:trPr/>
        <w:tc>
          <w:tcPr>
            <w:tcW w:w="2405" w:type="dxa"/>
            <w:tcBorders/>
            <w:vAlign w:val="center"/>
          </w:tcPr>
          <w:p>
            <w:pPr>
              <w:pStyle w:val="TableContents"/>
              <w:bidi w:val="0"/>
              <w:spacing w:before="0" w:after="283"/>
              <w:jc w:val="center"/>
              <w:rPr>
                <w:sz w:val="20"/>
              </w:rPr>
            </w:pPr>
            <w:bookmarkStart w:id="9" w:name="xdx_907_edei--EntityAddressCityOrTown_c2"/>
            <w:bookmarkEnd w:id="9"/>
            <w:r>
              <w:rPr>
                <w:rFonts w:ascii="Times New Roman;Times;Serif" w:hAnsi="Times New Roman;Times;Serif"/>
                <w:b/>
                <w:i w:val="false"/>
                <w:caps w:val="false"/>
                <w:smallCaps w:val="false"/>
                <w:sz w:val="20"/>
              </w:rPr>
              <w:t>Morrisville</w:t>
            </w:r>
            <w:r>
              <w:rPr>
                <w:sz w:val="20"/>
              </w:rPr>
              <w:t xml:space="preserve">, </w:t>
            </w:r>
            <w:bookmarkStart w:id="10" w:name="xdx_90F_edei--EntityAddressStateOrProvin"/>
            <w:bookmarkEnd w:id="10"/>
            <w:r>
              <w:rPr>
                <w:b/>
                <w:sz w:val="20"/>
              </w:rPr>
              <w:t>North Carolina</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6_edei--EntityAddressPostalZipCode"/>
            <w:bookmarkEnd w:id="11"/>
            <w:r>
              <w:rPr>
                <w:rFonts w:ascii="Times New Roman;Times;Serif" w:hAnsi="Times New Roman;Times;Serif"/>
                <w:b/>
                <w:i w:val="false"/>
                <w:caps w:val="false"/>
                <w:smallCaps w:val="false"/>
                <w:sz w:val="20"/>
              </w:rPr>
              <w:t>27560</w:t>
            </w:r>
          </w:p>
        </w:tc>
      </w:tr>
      <w:tr>
        <w:trPr/>
        <w:tc>
          <w:tcPr>
            <w:tcW w:w="24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w:t>
              <w:br/>
              <w:t>executive offices)</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A_edei--CityAreaCode_c20260427__20"/>
      <w:bookmarkEnd w:id="12"/>
      <w:r>
        <w:rPr>
          <w:rFonts w:ascii="Times New Roman;Times;Serif" w:hAnsi="Times New Roman;Times;Serif"/>
          <w:b/>
          <w:i w:val="false"/>
          <w:caps w:val="false"/>
          <w:smallCaps w:val="false"/>
          <w:sz w:val="20"/>
        </w:rPr>
        <w:t xml:space="preserve">919) </w:t>
      </w:r>
      <w:bookmarkStart w:id="13" w:name="xdx_904_edei--LocalPhoneNumber_c20260427"/>
      <w:bookmarkEnd w:id="13"/>
      <w:r>
        <w:rPr>
          <w:rFonts w:ascii="Times New Roman;Times;Serif" w:hAnsi="Times New Roman;Times;Serif"/>
          <w:b/>
          <w:i w:val="false"/>
          <w:caps w:val="false"/>
          <w:smallCaps w:val="false"/>
          <w:sz w:val="20"/>
        </w:rPr>
        <w:t>468-0399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F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5" w:name="xdx_90C_edei--SolicitingMaterial_c202604"/>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6" w:name="xdx_90C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7" w:name="xdx_90D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8" w:name="xdx_90C_edei--EntityEmergingGrowthCompan"/>
      <w:bookmarkEnd w:id="1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regarding the Asset Purchase Agreement (the “Purchase Agreement”) with Van Lang Jewelry LLC or its affiliate Jewelry Design Partners LLC (the “Buyer”), dated as of April 15, 2026,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previously disclosed, Michael Levin was appointed by the Board to serve as Executive Chair on January 5, 2026 for an initial term of three months, which the Board extended for an additional one-month period on March 25, 2026. On April 27, 2026, the Board approved changing the term of Mr. Levin’s appointment from a fixed term to a month-to-month arrangement, to continue until otherwise determined by the Board (the “Extended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the Extended Term, the Board determined that Mr. Levin will receive $7,500 per month for his services as Executive Chair, in lieu of any other Board compensation applicable for the time period during which he is acting as Executive Chair.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disclosed, on March 2, 2026, Charles &amp; Colvard, Ltd., a North Carolina corporation (the “Company”), filed a voluntary petition for relief under Chapter 11 of Title 11 of the United States Code (“Chapter 11”) in the United States Bankruptcy Court for the Eastern District of North Carolina (the “Bankruptcy Court”), and commenced a Chapter 11 case for the Company (the “Chapter 11 Case”). The case is styled as </w:t>
      </w:r>
      <w:r>
        <w:rPr>
          <w:rFonts w:ascii="Times New Roman;Times;Serif" w:hAnsi="Times New Roman;Times;Serif"/>
          <w:b w:val="false"/>
          <w:i/>
          <w:caps w:val="false"/>
          <w:smallCaps w:val="false"/>
          <w:sz w:val="20"/>
        </w:rPr>
        <w:t>In re Charles &amp; Colvard,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Company entered into the Purchase Agreement, pursuant to which, subject to the terms and conditions set forth therein, including approval of the Bankruptcy Court, the Buyer agreed to acquire the assets of the Company (except for the Excluded Assets, as listed on Schedule 1 thereto) and assume certain liabilities (the “Transaction”), for consideration of $1,500,000 (subject to a credit bid and offset against all of the indebtedness owed to the Buyer under the Section 364 Financing Loan Agreement dated March 24, 2026, by and between the Company and the Buyer (the “DIP Facility”)). A former member of the Company’s Board of Directors (the “Board”), Duc Pham, who resigned from the Board on March 25, 2026, is a Manager of Jewelry Design Partners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the Bankruptcy Court entered an Order (i) approving the Buyer as the “stalking horse” bidder with respect to the assets to be acquired under the Purchase Agreement on the terms set forth in the Order, (ii) approving the “stalking horse” bidder to credit bid all or any portion of the outstanding DIP Obligations (as defined within the Purchase Agreement) under the DIP Facility, as a part of the purchase price under the Purchase Agreement, (iii) approving the credit bid provisions contemplated by the Purchase Agreement, (iv) approving the stalking horse break-up fee and expense reimbursement as set forth in the Purchase Agreement, and (v) approving the proposed bidding procedures. The Bankruptcy Court scheduled the final sale hearing for June 22, 2026, at 11:00 a.m. ET. The Transaction will be conducted pursuant to Bankruptcy Court-approved bidding procedures and is subject to (a) the receipt of a bid that meets the specifications set forth in the Purchase Agreement and that constitutes, in the Company’s reasonable judgment, a higher or otherwise better offer from competing bidders, (b) approval of the sale by the Bankruptcy Court, and (c) the satisfaction of certain 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after approval of the Bankruptcy Court, the Company countersigned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Note Regarding the Chapter 11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cautions that trading in the Company’s common stock during the pendency of the Chapter 11 Case is highly speculative and poses substantial risks. Trading prices for the Company’s common stock may bear little or no relationship to the actual recovery, if any, by the holders of the Company’s common stock in the Chapter 11 Case. The Company expects that holders of the Company’s common stock may experience a significant or complete loss on their investment, depending on the outcome of the Chapter 11 Case. Accordingly, the Company urges extreme caution with respect to existing and future investments in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Statements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Section 27A of the Securities Act of 1933, as amended, and Section 21E of the Securities Exchange Act of 1934, as amended. These forward-looking statements typically can be identified by use of terms such as “may,” “will,” “should,” “could,” “expect,” “intend,” “plan,” “anticipate,” “believe,” “estimate,” “predict,” “continue,” and similar words, although some forward-looking statements are expressed differently. All forward-looking statements are subject to the risks and uncertainties inherent in predicting the future. You should be aware that although the forward-looking statements included herein represent management’s current judgment and expectations, the Company’s actual results may differ materially from those projected, stated, or implied in these forward-looking statements as a result of many factors including, but not limited to, risks attendant to the bankruptcy process, including the Company’s ability to obtain court approval from the Bankruptcy Court with respect to motions or other requests made to the Bankruptcy Court throughout the course of Chapter 11; the effects of Chapter 11, including increased legal and other professional costs necessary to execute the Company’s restructuring process, on the Company’s liquidity (including the availability of operating capital during the pendency of Chapter 11); the effects of Chapter 11 on the interests of various constituents and financial stakeholders; the length of time that the Company will operate under Chapter 11 protection and the continued availability of operating capital during the pendency of Chapter 11; objections to the Company’s restructuring process or other pleadings filed that could protract Chapter 11; risks associated with the Company’s proposed restructuring plan; risks associated with third-party motions in Chapter 11; Bankruptcy Court rulings in the Chapter 11 process and the outcome of Chapter 11 in general; employee attrition and the Company’s ability to retain senior management and other key personnel due to the distractions and uncertainties; in addition to the other risks and uncertainties described in more detail in the Company’s filings with the U.S. Securities and Exchange Commission. Furthermore, such forward-looking statements speak only as of the date of this Current Report on Form 8-K. Except as required by applicable law, the Company does not intend to update any of the forward-looking statements to conform these statements to actual results, later events or circumstances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225" w:type="dxa"/>
        <w:jc w:val="left"/>
        <w:tblInd w:w="0" w:type="dxa"/>
        <w:tblLayout w:type="fixed"/>
        <w:tblCellMar>
          <w:top w:w="0" w:type="dxa"/>
          <w:left w:w="0" w:type="dxa"/>
          <w:bottom w:w="0" w:type="dxa"/>
          <w:right w:w="0" w:type="dxa"/>
        </w:tblCellMar>
      </w:tblPr>
      <w:tblGrid>
        <w:gridCol w:w="1070"/>
        <w:gridCol w:w="260"/>
        <w:gridCol w:w="1895"/>
      </w:tblGrid>
      <w:tr>
        <w:trPr/>
        <w:tc>
          <w:tcPr>
            <w:tcW w:w="1070" w:type="dxa"/>
            <w:tcBorders/>
            <w:vAlign w:val="center"/>
          </w:tcPr>
          <w:p>
            <w:pPr>
              <w:pStyle w:val="TableContents"/>
              <w:bidi w:val="0"/>
              <w:spacing w:before="0" w:after="283"/>
              <w:jc w:val="left"/>
              <w:rPr/>
            </w:pPr>
            <w:r>
              <w:rPr/>
              <w:t> </w:t>
            </w:r>
          </w:p>
        </w:tc>
        <w:tc>
          <w:tcPr>
            <w:tcW w:w="21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Charles &amp; Colvard, Ltd.</w:t>
            </w:r>
          </w:p>
        </w:tc>
      </w:tr>
      <w:tr>
        <w:trPr/>
        <w:tc>
          <w:tcPr>
            <w:tcW w:w="107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 2026</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Clint J. Pete</w:t>
            </w:r>
          </w:p>
        </w:tc>
      </w:tr>
      <w:tr>
        <w:trPr/>
        <w:tc>
          <w:tcPr>
            <w:tcW w:w="107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Clint J. Pete</w:t>
            </w:r>
          </w:p>
        </w:tc>
      </w:tr>
      <w:tr>
        <w:trPr/>
        <w:tc>
          <w:tcPr>
            <w:tcW w:w="107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1436</Words>
  <Characters>7875</Characters>
  <CharactersWithSpaces>9318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