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225" w:lineRule="exact"/>
        <w:rPr>
          <w:sz w:val="24"/>
          <w:szCs w:val="24"/>
          <w:color w:val="auto"/>
        </w:rPr>
      </w:pPr>
    </w:p>
    <w:tbl>
      <w:tblPr>
        <w:tblLayout w:type="fixed"/>
        <w:tblInd w:w="134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5060" w:type="dxa"/>
            <w:vAlign w:val="bottom"/>
          </w:tcPr>
          <w:p>
            <w:pPr>
              <w:jc w:val="center"/>
              <w:ind w:right="237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pecialized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isclosure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eport</w:t>
            </w:r>
          </w:p>
        </w:tc>
      </w:tr>
      <w:tr>
        <w:trPr>
          <w:trHeight w:val="414"/>
        </w:trPr>
        <w:tc>
          <w:tcPr>
            <w:tcW w:w="2980" w:type="dxa"/>
            <w:vAlign w:val="bottom"/>
          </w:tcPr>
          <w:p>
            <w:pPr>
              <w:spacing w:after="0"/>
              <w:rPr>
                <w:sz w:val="24"/>
                <w:szCs w:val="24"/>
                <w:color w:val="auto"/>
              </w:rPr>
            </w:pPr>
          </w:p>
        </w:tc>
        <w:tc>
          <w:tcPr>
            <w:tcW w:w="5060" w:type="dxa"/>
            <w:vAlign w:val="bottom"/>
          </w:tcPr>
          <w:p>
            <w:pPr>
              <w:jc w:val="center"/>
              <w:ind w:right="2410"/>
              <w:spacing w:after="0"/>
              <w:rPr>
                <w:sz w:val="20"/>
                <w:szCs w:val="20"/>
                <w:color w:val="auto"/>
              </w:rPr>
            </w:pPr>
            <w:r>
              <w:rPr>
                <w:rFonts w:ascii="Times New Roman" w:cs="Times New Roman" w:eastAsia="Times New Roman" w:hAnsi="Times New Roman"/>
                <w:sz w:val="18"/>
                <w:szCs w:val="18"/>
                <w:b w:val="1"/>
                <w:bCs w:val="1"/>
                <w:color w:val="auto"/>
                <w:w w:val="99"/>
              </w:rPr>
              <w:t>Charles &amp; Colvard, Ltd.</w:t>
            </w:r>
          </w:p>
        </w:tc>
      </w:tr>
      <w:tr>
        <w:trPr>
          <w:trHeight w:val="234"/>
        </w:trPr>
        <w:tc>
          <w:tcPr>
            <w:tcW w:w="80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14"/>
        </w:trPr>
        <w:tc>
          <w:tcPr>
            <w:tcW w:w="2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North Carolina</w:t>
            </w:r>
          </w:p>
        </w:tc>
        <w:tc>
          <w:tcPr>
            <w:tcW w:w="50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000-23329</w:t>
            </w:r>
          </w:p>
        </w:tc>
      </w:tr>
      <w:tr>
        <w:trPr>
          <w:trHeight w:val="216"/>
        </w:trPr>
        <w:tc>
          <w:tcPr>
            <w:tcW w:w="2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060" w:type="dxa"/>
            <w:vAlign w:val="bottom"/>
          </w:tcPr>
          <w:p>
            <w:pPr>
              <w:jc w:val="center"/>
              <w:ind w:left="2970"/>
              <w:spacing w:after="0"/>
              <w:rPr>
                <w:sz w:val="20"/>
                <w:szCs w:val="20"/>
                <w:color w:val="auto"/>
              </w:rPr>
            </w:pPr>
            <w:r>
              <w:rPr>
                <w:rFonts w:ascii="Times New Roman" w:cs="Times New Roman" w:eastAsia="Times New Roman" w:hAnsi="Times New Roman"/>
                <w:sz w:val="18"/>
                <w:szCs w:val="18"/>
                <w:color w:val="auto"/>
              </w:rPr>
              <w:t>(Commission File Number)</w:t>
            </w:r>
          </w:p>
        </w:tc>
      </w:tr>
      <w:tr>
        <w:trPr>
          <w:trHeight w:val="234"/>
        </w:trPr>
        <w:tc>
          <w:tcPr>
            <w:tcW w:w="2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060" w:type="dxa"/>
            <w:vAlign w:val="bottom"/>
          </w:tcPr>
          <w:p>
            <w:pPr>
              <w:spacing w:after="0"/>
              <w:rPr>
                <w:sz w:val="20"/>
                <w:szCs w:val="20"/>
                <w:color w:val="auto"/>
              </w:rPr>
            </w:pPr>
          </w:p>
        </w:tc>
      </w:tr>
      <w:tr>
        <w:trPr>
          <w:trHeight w:val="410"/>
        </w:trPr>
        <w:tc>
          <w:tcPr>
            <w:tcW w:w="2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170 Southport Drive</w:t>
            </w:r>
          </w:p>
        </w:tc>
        <w:tc>
          <w:tcPr>
            <w:tcW w:w="5060" w:type="dxa"/>
            <w:vAlign w:val="bottom"/>
          </w:tcPr>
          <w:p>
            <w:pPr>
              <w:spacing w:after="0"/>
              <w:rPr>
                <w:sz w:val="24"/>
                <w:szCs w:val="24"/>
                <w:color w:val="auto"/>
              </w:rPr>
            </w:pPr>
          </w:p>
        </w:tc>
      </w:tr>
      <w:tr>
        <w:trPr>
          <w:trHeight w:val="220"/>
        </w:trPr>
        <w:tc>
          <w:tcPr>
            <w:tcW w:w="2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Morrisville, North Carolina</w:t>
            </w:r>
          </w:p>
        </w:tc>
        <w:tc>
          <w:tcPr>
            <w:tcW w:w="50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27560</w:t>
            </w:r>
          </w:p>
        </w:tc>
      </w:tr>
      <w:tr>
        <w:trPr>
          <w:trHeight w:val="234"/>
        </w:trPr>
        <w:tc>
          <w:tcPr>
            <w:tcW w:w="2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5060" w:type="dxa"/>
            <w:vAlign w:val="bottom"/>
          </w:tcPr>
          <w:p>
            <w:pPr>
              <w:jc w:val="center"/>
              <w:ind w:left="29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Clint J. Pete, Chief Financial Officer (919) 468-0399</w:t>
      </w:r>
    </w:p>
    <w:p>
      <w:pPr>
        <w:spacing w:after="0" w:line="31"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8"/>
          <w:szCs w:val="18"/>
          <w:color w:val="auto"/>
        </w:rPr>
        <w:t>(Name and telephone number, including area code, of person to contact in connection with this report)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184"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Rule 13p-1 under the Securities Exchange Act (17 CFR 240.13p-1) for the reporting period from January 1 to December 31, 2025.</w:t>
      </w:r>
    </w:p>
    <w:p>
      <w:pPr>
        <w:spacing w:after="0" w:line="23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13q-1 under the Securities Exchange Act (17 CFR 240.13q-1) for the fiscal year ended____________________________.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provided for in Rule 13p-1 under the Securities Exchange Act of 1934, as amended, and Form SD, a Conflict Minerals Report is provided as an exhibit to this Form SD and is available at the following internet website: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https://ir.charlesandcolvard.com/financials/sec-filings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contained on our website is not incorporated by reference into this Form SD or our Conflict Minerals Report and should not be considered part of this Form SD or the Conflict Minerals Report.</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Information concerning gold and tantalum from recycled or scrap sources that may be contained in our in-scope products is included in the Conflict Minerals Report and is incorporated in this Form SD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Conflicts Minerals Report described in Item 1.01 is filed as Exhibit 1.01 to this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1.01 - Conflict Minerals Report for Charles &amp; Colvard, Ltd. for the calendar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Charles &amp; Colvard,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Clint J. 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5715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18"/>
          <w:szCs w:val="18"/>
          <w:color w:val="auto"/>
        </w:rPr>
        <w:t>Clint J. Pete</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Charles &amp; Colvard, Ltd. (the “Company”) has included this Conflict Minerals Report as an exhibit to its form SD filed pursuant to Rule 13p-1 promulgated under the Securities Exchange Act of 1934, as amended, for the reporting period January 1, 2025 to December 31, 2025. Rule 13p-1 requires disclosure of certain information when a company manufactures or contracts to manufacture products for which the minerals specified in the Rule are necessary to the functionality or production of those products. The specified minerals are gold, columbite-tantalite (coltan), cassiterite and wolframite, including their derivatives, which are limited to tantalum, tin and tungsten (collectively, the “Conflict Minerals”). The “Covered Countries” for the purposes of Rule 13p-1 are the Democratic Republic of the Congo, the Republic of the Congo, the Central African Republic, South Sudan, Uganda, Rwanda, Burundi, Tanzania, Zambia, and Angola.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 Minerals Disclosure</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contracts to manufacture products for which gold and tantalum, two of the Conflict Minerals, are necessary to the functionality or production of those products. The Company has conducted a good faith reasonable country of origin inquiry regarding its Conflict Minerals reasonably designed to determine whether any of its Conflict Minerals originated in the Covered Countries and whether any of the Conflict Minerals may be from recycled or scrap sources.</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requested each of its gold suppliers (each, a “Company Gold Supplier”) to certify that (1) it has not and will not accept gold that originated in any of the Covered Countries and (2) it only accepts gold from the following sources:</w:t>
      </w:r>
    </w:p>
    <w:p>
      <w:pPr>
        <w:spacing w:after="0" w:line="162" w:lineRule="exact"/>
        <w:rPr>
          <w:sz w:val="20"/>
          <w:szCs w:val="20"/>
          <w:color w:val="auto"/>
        </w:rPr>
      </w:pPr>
    </w:p>
    <w:p>
      <w:pPr>
        <w:ind w:left="220" w:right="60" w:hanging="212"/>
        <w:spacing w:after="0" w:line="266"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Refiners that are on the London Bullion Market Association Good Delivery List (the “LBMA List”), the Responsible Minerals Initiative Responsible Minerals Assurance Process lists of active and conformant smelters and refiners (the “RMAP Lists”), or has received the Responsible Jewellery Council Chain of Custody Certification (the “RJC Certification”);</w:t>
      </w:r>
    </w:p>
    <w:p>
      <w:pPr>
        <w:spacing w:after="0" w:line="175" w:lineRule="exact"/>
        <w:rPr>
          <w:rFonts w:ascii="Times New Roman" w:cs="Times New Roman" w:eastAsia="Times New Roman" w:hAnsi="Times New Roman"/>
          <w:sz w:val="18"/>
          <w:szCs w:val="18"/>
          <w:color w:val="auto"/>
        </w:rPr>
      </w:pPr>
    </w:p>
    <w:p>
      <w:pPr>
        <w:ind w:left="220" w:right="420" w:hanging="212"/>
        <w:spacing w:after="0" w:line="282"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that identify the refiner(s) of the gold received by the Company Gold Supplier as being listed on the LBMA List or the RMAP Lists or as having received the RJC Certification; and/or</w:t>
      </w:r>
    </w:p>
    <w:p>
      <w:pPr>
        <w:spacing w:after="0" w:line="161" w:lineRule="exact"/>
        <w:rPr>
          <w:rFonts w:ascii="Times New Roman" w:cs="Times New Roman" w:eastAsia="Times New Roman" w:hAnsi="Times New Roman"/>
          <w:sz w:val="18"/>
          <w:szCs w:val="18"/>
          <w:color w:val="auto"/>
        </w:rPr>
      </w:pPr>
    </w:p>
    <w:p>
      <w:pPr>
        <w:ind w:left="180" w:right="300" w:hanging="172"/>
        <w:spacing w:after="0" w:line="282" w:lineRule="auto"/>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that certify that the gold received by the Company Gold Supplier is scrap and/or recycled gold identifiable as resulting from such suppliers’ own production.</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received certifications from Company Gold Suppliers that supply 100% of the gold used in the production of the Company’s products for which the gold is necessary to the functionality or production of those products.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requested each of its tantalum suppliers (each, a “Company Tantalum Supplier”) to certify that (1) it has not and will not accept tantalum that originated in any of the Covered Countries and (2) it only accepts tantalum from the following sources:</w:t>
      </w:r>
    </w:p>
    <w:p>
      <w:pPr>
        <w:spacing w:after="0" w:line="162" w:lineRule="exact"/>
        <w:rPr>
          <w:sz w:val="20"/>
          <w:szCs w:val="20"/>
          <w:color w:val="auto"/>
        </w:rPr>
      </w:pPr>
    </w:p>
    <w:p>
      <w:pPr>
        <w:ind w:left="340" w:right="18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Smelters that are on the Responsible Minerals Initiative Responsible Minerals Assurance Process lists of active and conformant smelters and refiners (the “RMAP Lists”);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that identify the smelter(s) of the tantalum received by the Company Tantalum Supplier as being listed on the RMAP Lists; and/or</w:t>
      </w:r>
    </w:p>
    <w:p>
      <w:pPr>
        <w:spacing w:after="0" w:line="22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that certify that the tantalum received by the Company Tantalum Supplier is scrap and/or recycled tantalum identifiable as resulting from such suppliers’ own production.</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received certifications from Company Tantalum Suppliers that supply 100% of the tantalum used in the production of the Company’s products for which the tantalum is necessary to the functionality or production of those products.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on this reasonable country of origin inquiry, the Company determined that it has no reason to believe that its Conflict Minerals may have originated in the Covered Countries. This information is publicly available at https://ir.charlesandcolvard.com/financials/sec-filings.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2026-06-01T17:17:54Z</dcterms:created>
  <dcterms:modified xsi:type="dcterms:W3CDTF">2026-06-01T17:17:54Z</dcterms:modified>
</cp:coreProperties>
</file>